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D3F4">
      <w:pPr>
        <w:pageBreakBefore w:val="0"/>
        <w:widowControl/>
        <w:shd w:val="solid" w:color="FFFFFF" w:fill="auto"/>
        <w:kinsoku/>
        <w:overflowPunct/>
        <w:topLinePunct w:val="0"/>
        <w:autoSpaceDN w:val="0"/>
        <w:bidi w:val="0"/>
        <w:adjustRightInd w:val="0"/>
        <w:spacing w:beforeLines="0" w:afterLines="0" w:line="620" w:lineRule="exact"/>
        <w:ind w:left="0" w:leftChars="0" w:firstLine="0" w:firstLineChars="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附件1：合作意向申请表</w:t>
      </w:r>
    </w:p>
    <w:p w14:paraId="593A5B55"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D97D35D">
      <w:pPr>
        <w:pStyle w:val="6"/>
        <w:spacing w:line="62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-12"/>
          <w:kern w:val="0"/>
          <w:sz w:val="44"/>
          <w:szCs w:val="44"/>
          <w:u w:val="none"/>
          <w:lang w:val="en-US" w:eastAsia="zh-CN" w:bidi="ar"/>
        </w:rPr>
        <w:t>合作意向申请表</w:t>
      </w:r>
    </w:p>
    <w:tbl>
      <w:tblPr>
        <w:tblStyle w:val="4"/>
        <w:tblpPr w:leftFromText="180" w:rightFromText="180" w:vertAnchor="text" w:horzAnchor="page" w:tblpX="1440" w:tblpY="598"/>
        <w:tblOverlap w:val="never"/>
        <w:tblW w:w="9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44"/>
        <w:gridCol w:w="1126"/>
        <w:gridCol w:w="2881"/>
        <w:gridCol w:w="1886"/>
        <w:tblGridChange w:id="0">
          <w:tblGrid>
            <w:gridCol w:w="1525"/>
            <w:gridCol w:w="1512"/>
            <w:gridCol w:w="232"/>
            <w:gridCol w:w="1126"/>
            <w:gridCol w:w="2881"/>
            <w:gridCol w:w="1886"/>
          </w:tblGrid>
        </w:tblGridChange>
      </w:tblGrid>
      <w:tr w14:paraId="594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405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341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19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执业许可证号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CC5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FE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AB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3EE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CE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2C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B9F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4C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 w14:paraId="43C282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0B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E3EB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近3年有无受到行政部门或行业协会的处罚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93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CE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0A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执业律师</w:t>
            </w:r>
          </w:p>
          <w:p w14:paraId="32D58B8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2467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FC6F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合伙人数量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1FD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20A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23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优势领域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96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4236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D5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荣誉奖项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F27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5AC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69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主要合作</w:t>
            </w:r>
          </w:p>
          <w:p w14:paraId="456223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027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421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FB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主办律师信息</w:t>
            </w:r>
          </w:p>
        </w:tc>
      </w:tr>
      <w:tr w14:paraId="62A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D46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2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F12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4CC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8B3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07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0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A60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8D7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F8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39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B18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C5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A77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A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2D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团队律师信息</w:t>
            </w:r>
          </w:p>
        </w:tc>
      </w:tr>
      <w:tr w14:paraId="3579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336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52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B7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FB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92B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4C42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44C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2DE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CC9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F98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D7E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07B3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4CB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CC7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A6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56F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4A7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728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45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2044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6AA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109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9F0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6AE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0E1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A02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3D3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002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A80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2C8E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63E5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EF9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29E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63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E0B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FB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50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申请合作</w:t>
            </w:r>
          </w:p>
          <w:p w14:paraId="493670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76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468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必须是经司法行政部门批准的取得执业许可证的律师事务所，已通过司法行政机关最近一年考核，考核结果为合格或合格以上；</w:t>
            </w:r>
          </w:p>
          <w:p w14:paraId="384D30A4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在经营活动中没有重大违法记录；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没有受过司法行政部门、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银行业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4DCAB694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负责本项目的律师、服务团队成员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受过司法行政部门、银行保险监管机构、税务机关、银行同业公会以及律师协会的处罚或处分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23BE8696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不存在违反《股份制商业银行独立董事和外部监事制度指引》等监管制度限制性规定的情形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0242D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具备催收系统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（或案件管理系统）、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录音系统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，系统可以为律所自建系统或非自建系统，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催收记录、录音信息应至少保存3年及以上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E65F5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未被列入“信用中国”网站(www.creditchina.gov.cn)“记录失信被执行人或重大税收违法失信主体或政府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严重违法失信行为”记录名单；不处于中国政府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网(www.ccgp.gov.cn)“政府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严重违法失信行为信息记录”中的禁止参加政府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活动期间。</w:t>
            </w:r>
          </w:p>
          <w:p w14:paraId="2D3E60B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="0" w:beforeLines="0" w:afterLines="0" w:line="620" w:lineRule="exact"/>
              <w:ind w:left="0" w:leftChars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□7.未曾与本行发生法律纠纷，不在本行服务供应商黑名单内；</w:t>
            </w:r>
          </w:p>
          <w:p w14:paraId="5AE64392">
            <w:pPr>
              <w:pStyle w:val="3"/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Lines="0" w:afterLines="0" w:line="620" w:lineRule="exact"/>
              <w:ind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□8.不存在法律法规或其他监管规定限制或禁止为本行提供服务的情形。</w:t>
            </w:r>
          </w:p>
          <w:p w14:paraId="1C989979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□9.业务代理年限方面，律所主办律师累计代理信用卡逾期资产批量清收案件的年限≥3年；</w:t>
            </w:r>
          </w:p>
          <w:p w14:paraId="74BA0058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Lines="0" w:line="620" w:lineRule="exact"/>
              <w:ind w:firstLine="0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10.项目服务经验方面，律所或主办律师需提供至少一项与国有银行、全国性股份制银行、城商行的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pacing w:val="-23"/>
                <w:sz w:val="32"/>
                <w:szCs w:val="32"/>
                <w:highlight w:val="none"/>
                <w:u w:val="none"/>
                <w:shd w:val="clear"/>
                <w:lang w:val="en-US" w:eastAsia="zh-CN" w:bidi="ar"/>
              </w:rPr>
              <w:t>信用卡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逾期资产批量清收处置案例；（以上案例包括主办律师现所在律所或过往执业律所的代理案例。）</w:t>
            </w:r>
          </w:p>
        </w:tc>
      </w:tr>
      <w:tr w14:paraId="4C22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18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76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11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701F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1A476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申报/推荐理由</w:t>
            </w:r>
          </w:p>
        </w:tc>
      </w:tr>
      <w:tr w14:paraId="7D75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09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59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9B9CFC9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0CDBE234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1028DDB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6D07DC22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D3AC1C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</w:tc>
      </w:tr>
    </w:tbl>
    <w:p w14:paraId="13FACA84">
      <w:pPr>
        <w:pStyle w:val="2"/>
        <w:rPr>
          <w:rFonts w:hint="eastAsia"/>
          <w:lang w:val="en-US" w:eastAsia="zh-CN"/>
        </w:rPr>
      </w:pPr>
    </w:p>
    <w:p w14:paraId="198500B0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</w:p>
    <w:p w14:paraId="6503CDEF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备注：申报/推荐理由中应包含但不限于：</w:t>
      </w:r>
    </w:p>
    <w:p w14:paraId="7BCD95BC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申请律所及律师团队就零售信用逾期资产批量清收（含信用卡）的过往业绩，包括主要代理地区和整体立案水平等；</w:t>
      </w:r>
    </w:p>
    <w:p w14:paraId="586AB67B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申请律所及律师团队合作期间预计处置思路和立案量等。</w:t>
      </w:r>
    </w:p>
    <w:p w14:paraId="03D5D188">
      <w:pPr>
        <w:pageBreakBefore w:val="0"/>
        <w:kinsoku/>
        <w:overflowPunct/>
        <w:topLinePunct w:val="0"/>
        <w:bidi w:val="0"/>
        <w:spacing w:line="6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8506E"/>
    <w:multiLevelType w:val="singleLevel"/>
    <w:tmpl w:val="5218506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C74F5"/>
    <w:rsid w:val="005945A9"/>
    <w:rsid w:val="08993BA9"/>
    <w:rsid w:val="17DC74F5"/>
    <w:rsid w:val="346A5D3A"/>
    <w:rsid w:val="611873DC"/>
    <w:rsid w:val="6F8A3988"/>
    <w:rsid w:val="7A0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3">
    <w:name w:val="Body Text First Indent"/>
    <w:basedOn w:val="2"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6">
    <w:name w:val="正文（首行缩进2字符）"/>
    <w:basedOn w:val="1"/>
    <w:qFormat/>
    <w:uiPriority w:val="99"/>
    <w:pPr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2025-07-31T08:42:00Z</dcterms:created>
  <dc:creator>朱晓丹</dc:creator>
  <cp:lastModifiedBy>朱晓丹</cp:lastModifiedBy>
  <dcterms:modified xsi:type="dcterms:W3CDTF">2025-09-23T02:27:43Z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09866A767D71480D84057894B12CCE69_12</vt:lpwstr>
  </property>
</Properties>
</file>